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63A" w:rsidRDefault="00F8663A" w:rsidP="00F8663A">
      <w:pPr>
        <w:jc w:val="center"/>
        <w:rPr>
          <w:b/>
          <w:bCs/>
          <w:rtl/>
        </w:rPr>
      </w:pPr>
      <w:r w:rsidRPr="006E213B">
        <w:rPr>
          <w:rFonts w:hint="cs"/>
          <w:b/>
          <w:bCs/>
          <w:rtl/>
        </w:rPr>
        <w:t xml:space="preserve">נספח ב' </w:t>
      </w:r>
      <w:r w:rsidRPr="006E213B">
        <w:rPr>
          <w:b/>
          <w:bCs/>
          <w:rtl/>
        </w:rPr>
        <w:t>–</w:t>
      </w:r>
      <w:r w:rsidRPr="006E213B">
        <w:rPr>
          <w:rFonts w:hint="cs"/>
          <w:b/>
          <w:bCs/>
          <w:rtl/>
        </w:rPr>
        <w:t xml:space="preserve"> חוות דעת ספק יחיד</w:t>
      </w:r>
      <w:r>
        <w:rPr>
          <w:rFonts w:hint="cs"/>
          <w:b/>
          <w:bCs/>
          <w:rtl/>
        </w:rPr>
        <w:t xml:space="preserve"> </w:t>
      </w:r>
    </w:p>
    <w:p w:rsidR="00F8663A" w:rsidRPr="006E213B" w:rsidRDefault="00F8663A" w:rsidP="00F8663A">
      <w:pPr>
        <w:jc w:val="center"/>
        <w:rPr>
          <w:b/>
          <w:bCs/>
          <w:rtl/>
        </w:rPr>
      </w:pPr>
    </w:p>
    <w:p w:rsidR="00F8663A" w:rsidRDefault="00F8663A" w:rsidP="00F8663A">
      <w:pPr>
        <w:rPr>
          <w:rtl/>
        </w:rPr>
      </w:pPr>
      <w:r>
        <w:rPr>
          <w:rFonts w:hint="cs"/>
          <w:rtl/>
        </w:rPr>
        <w:t>רשות</w:t>
      </w:r>
      <w:r w:rsidRPr="00152A42">
        <w:rPr>
          <w:rtl/>
        </w:rPr>
        <w:t xml:space="preserve"> </w:t>
      </w:r>
      <w:r>
        <w:rPr>
          <w:rFonts w:hint="cs"/>
          <w:rtl/>
        </w:rPr>
        <w:t xml:space="preserve">שוק ההון, ביטוח וחיסכון (להלן </w:t>
      </w:r>
      <w:r>
        <w:rPr>
          <w:rtl/>
        </w:rPr>
        <w:t>–</w:t>
      </w:r>
      <w:r>
        <w:rPr>
          <w:rFonts w:hint="cs"/>
          <w:rtl/>
        </w:rPr>
        <w:t xml:space="preserve"> </w:t>
      </w:r>
      <w:r>
        <w:rPr>
          <w:rFonts w:hint="cs"/>
          <w:b/>
          <w:bCs/>
          <w:rtl/>
        </w:rPr>
        <w:t>הרשות</w:t>
      </w:r>
      <w:r>
        <w:rPr>
          <w:rFonts w:hint="cs"/>
          <w:rtl/>
        </w:rPr>
        <w:t xml:space="preserve">) </w:t>
      </w:r>
      <w:r w:rsidRPr="00152A42">
        <w:rPr>
          <w:rFonts w:hint="eastAsia"/>
          <w:rtl/>
        </w:rPr>
        <w:t>פונה</w:t>
      </w:r>
      <w:r w:rsidRPr="00152A42">
        <w:rPr>
          <w:rtl/>
        </w:rPr>
        <w:t xml:space="preserve"> </w:t>
      </w:r>
      <w:r w:rsidRPr="00152A42">
        <w:rPr>
          <w:rFonts w:hint="eastAsia"/>
          <w:rtl/>
        </w:rPr>
        <w:t>בבקשה</w:t>
      </w:r>
      <w:r w:rsidRPr="00152A42">
        <w:rPr>
          <w:rtl/>
        </w:rPr>
        <w:t xml:space="preserve"> </w:t>
      </w:r>
      <w:r w:rsidRPr="00152A42">
        <w:rPr>
          <w:rFonts w:hint="eastAsia"/>
          <w:rtl/>
        </w:rPr>
        <w:t>לקבל</w:t>
      </w:r>
      <w:r w:rsidRPr="00152A42">
        <w:rPr>
          <w:rtl/>
        </w:rPr>
        <w:t xml:space="preserve"> </w:t>
      </w:r>
      <w:r w:rsidRPr="00152A42">
        <w:rPr>
          <w:rFonts w:hint="eastAsia"/>
          <w:rtl/>
        </w:rPr>
        <w:t>את</w:t>
      </w:r>
      <w:r w:rsidRPr="00152A42">
        <w:rPr>
          <w:rtl/>
        </w:rPr>
        <w:t xml:space="preserve"> </w:t>
      </w:r>
      <w:r w:rsidRPr="00152A42">
        <w:rPr>
          <w:rFonts w:hint="eastAsia"/>
          <w:rtl/>
        </w:rPr>
        <w:t>אישור</w:t>
      </w:r>
      <w:r w:rsidRPr="00152A42">
        <w:rPr>
          <w:rtl/>
        </w:rPr>
        <w:t xml:space="preserve"> </w:t>
      </w:r>
      <w:r w:rsidRPr="00152A42">
        <w:rPr>
          <w:rFonts w:hint="eastAsia"/>
          <w:rtl/>
        </w:rPr>
        <w:t>ועדת</w:t>
      </w:r>
      <w:r w:rsidRPr="00152A42">
        <w:rPr>
          <w:rtl/>
        </w:rPr>
        <w:t xml:space="preserve"> </w:t>
      </w:r>
      <w:r w:rsidRPr="00152A42">
        <w:rPr>
          <w:rFonts w:hint="eastAsia"/>
          <w:rtl/>
        </w:rPr>
        <w:t>המכרזים</w:t>
      </w:r>
      <w:r w:rsidRPr="00152A42">
        <w:rPr>
          <w:rtl/>
        </w:rPr>
        <w:t xml:space="preserve"> </w:t>
      </w:r>
      <w:r w:rsidRPr="00152A42">
        <w:rPr>
          <w:rFonts w:hint="eastAsia"/>
          <w:rtl/>
        </w:rPr>
        <w:t>לביצוע</w:t>
      </w:r>
      <w:r w:rsidRPr="00152A42">
        <w:rPr>
          <w:rtl/>
        </w:rPr>
        <w:t xml:space="preserve"> </w:t>
      </w:r>
      <w:r w:rsidRPr="00152A42">
        <w:rPr>
          <w:rFonts w:hint="eastAsia"/>
          <w:rtl/>
        </w:rPr>
        <w:t>התקשרות</w:t>
      </w:r>
      <w:r w:rsidRPr="00152A42">
        <w:rPr>
          <w:rtl/>
        </w:rPr>
        <w:t xml:space="preserve"> </w:t>
      </w:r>
      <w:r w:rsidRPr="00152A42">
        <w:rPr>
          <w:rFonts w:hint="eastAsia"/>
          <w:rtl/>
        </w:rPr>
        <w:t>עם</w:t>
      </w:r>
      <w:r w:rsidRPr="00152A42">
        <w:rPr>
          <w:rtl/>
        </w:rPr>
        <w:t xml:space="preserve"> </w:t>
      </w:r>
      <w:r w:rsidRPr="00152A42">
        <w:rPr>
          <w:rFonts w:hint="eastAsia"/>
          <w:rtl/>
        </w:rPr>
        <w:t>חברת</w:t>
      </w:r>
      <w:r w:rsidRPr="00152A42">
        <w:rPr>
          <w:rtl/>
        </w:rPr>
        <w:t xml:space="preserve"> </w:t>
      </w:r>
      <w:r>
        <w:rPr>
          <w:rFonts w:hint="cs"/>
          <w:rtl/>
        </w:rPr>
        <w:t xml:space="preserve">עדיף תקשורת בע"מ, </w:t>
      </w:r>
      <w:r w:rsidRPr="006E213B">
        <w:rPr>
          <w:rtl/>
        </w:rPr>
        <w:t xml:space="preserve">מספר עוסק מורשה 513239681, </w:t>
      </w:r>
      <w:r w:rsidRPr="00152A42">
        <w:rPr>
          <w:rtl/>
        </w:rPr>
        <w:t>(</w:t>
      </w:r>
      <w:r w:rsidRPr="00152A42">
        <w:rPr>
          <w:rFonts w:hint="eastAsia"/>
          <w:rtl/>
        </w:rPr>
        <w:t>להלן</w:t>
      </w:r>
      <w:r w:rsidRPr="00152A42">
        <w:rPr>
          <w:rtl/>
        </w:rPr>
        <w:t xml:space="preserve"> – </w:t>
      </w:r>
      <w:r w:rsidRPr="00152A42">
        <w:rPr>
          <w:rFonts w:hint="eastAsia"/>
          <w:b/>
          <w:bCs/>
          <w:rtl/>
        </w:rPr>
        <w:t>החברה</w:t>
      </w:r>
      <w:r w:rsidRPr="00152A42">
        <w:rPr>
          <w:rtl/>
        </w:rPr>
        <w:t xml:space="preserve">) </w:t>
      </w:r>
      <w:r w:rsidRPr="00152A42">
        <w:rPr>
          <w:rFonts w:hint="eastAsia"/>
          <w:rtl/>
        </w:rPr>
        <w:t>בפטור</w:t>
      </w:r>
      <w:r w:rsidRPr="00152A42">
        <w:rPr>
          <w:rtl/>
        </w:rPr>
        <w:t xml:space="preserve"> </w:t>
      </w:r>
      <w:r w:rsidRPr="00152A42">
        <w:rPr>
          <w:rFonts w:hint="eastAsia"/>
          <w:rtl/>
        </w:rPr>
        <w:t>ממכרז</w:t>
      </w:r>
      <w:r w:rsidRPr="00152A42">
        <w:rPr>
          <w:rtl/>
        </w:rPr>
        <w:t xml:space="preserve">, </w:t>
      </w:r>
      <w:r w:rsidRPr="00152A42">
        <w:rPr>
          <w:rFonts w:hint="eastAsia"/>
          <w:rtl/>
        </w:rPr>
        <w:t>בעילת</w:t>
      </w:r>
      <w:r w:rsidRPr="00152A42">
        <w:rPr>
          <w:rtl/>
        </w:rPr>
        <w:t xml:space="preserve"> </w:t>
      </w:r>
      <w:r w:rsidRPr="00152A42">
        <w:rPr>
          <w:rFonts w:hint="eastAsia"/>
          <w:rtl/>
        </w:rPr>
        <w:t>ספק</w:t>
      </w:r>
      <w:r w:rsidRPr="00152A42">
        <w:rPr>
          <w:rtl/>
        </w:rPr>
        <w:t xml:space="preserve"> </w:t>
      </w:r>
      <w:r w:rsidRPr="00152A42">
        <w:rPr>
          <w:rFonts w:hint="eastAsia"/>
          <w:rtl/>
        </w:rPr>
        <w:t>יחיד</w:t>
      </w:r>
      <w:r w:rsidRPr="00152A42">
        <w:rPr>
          <w:rtl/>
        </w:rPr>
        <w:t xml:space="preserve">, </w:t>
      </w:r>
      <w:r w:rsidRPr="00152A42">
        <w:rPr>
          <w:rFonts w:hint="eastAsia"/>
          <w:rtl/>
        </w:rPr>
        <w:t>בהתאם</w:t>
      </w:r>
      <w:r w:rsidRPr="00152A42">
        <w:rPr>
          <w:rtl/>
        </w:rPr>
        <w:t xml:space="preserve"> </w:t>
      </w:r>
      <w:r w:rsidRPr="00152A42">
        <w:rPr>
          <w:rFonts w:hint="eastAsia"/>
          <w:rtl/>
        </w:rPr>
        <w:t>לתקנה</w:t>
      </w:r>
      <w:r w:rsidRPr="00152A42">
        <w:rPr>
          <w:rtl/>
        </w:rPr>
        <w:t xml:space="preserve"> 3(29) </w:t>
      </w:r>
      <w:r w:rsidRPr="00152A42">
        <w:rPr>
          <w:rFonts w:hint="eastAsia"/>
          <w:rtl/>
        </w:rPr>
        <w:t>לתקנות</w:t>
      </w:r>
      <w:r w:rsidRPr="00152A42">
        <w:rPr>
          <w:rtl/>
        </w:rPr>
        <w:t xml:space="preserve"> </w:t>
      </w:r>
      <w:r w:rsidRPr="00152A42">
        <w:rPr>
          <w:rFonts w:hint="eastAsia"/>
          <w:rtl/>
        </w:rPr>
        <w:t>חובת</w:t>
      </w:r>
      <w:r w:rsidRPr="00152A42">
        <w:rPr>
          <w:rtl/>
        </w:rPr>
        <w:t xml:space="preserve"> </w:t>
      </w:r>
      <w:r w:rsidRPr="00152A42">
        <w:rPr>
          <w:rFonts w:hint="eastAsia"/>
          <w:rtl/>
        </w:rPr>
        <w:t>המכרזים</w:t>
      </w:r>
      <w:r w:rsidRPr="00152A42">
        <w:rPr>
          <w:rtl/>
        </w:rPr>
        <w:t xml:space="preserve"> </w:t>
      </w:r>
      <w:r w:rsidRPr="00152A42">
        <w:rPr>
          <w:rFonts w:hint="eastAsia"/>
          <w:rtl/>
        </w:rPr>
        <w:t>התשנ</w:t>
      </w:r>
      <w:r w:rsidRPr="00152A42">
        <w:rPr>
          <w:rtl/>
        </w:rPr>
        <w:t>"</w:t>
      </w:r>
      <w:r w:rsidRPr="00152A42">
        <w:rPr>
          <w:rFonts w:hint="eastAsia"/>
          <w:rtl/>
        </w:rPr>
        <w:t>ג</w:t>
      </w:r>
      <w:r w:rsidRPr="00152A42">
        <w:rPr>
          <w:rtl/>
        </w:rPr>
        <w:t>-1993</w:t>
      </w:r>
      <w:r>
        <w:rPr>
          <w:rFonts w:hint="cs"/>
          <w:rtl/>
        </w:rPr>
        <w:t xml:space="preserve"> (להלן </w:t>
      </w:r>
      <w:r>
        <w:rPr>
          <w:rtl/>
        </w:rPr>
        <w:t>–</w:t>
      </w:r>
      <w:r>
        <w:rPr>
          <w:rFonts w:hint="cs"/>
          <w:rtl/>
        </w:rPr>
        <w:t xml:space="preserve"> </w:t>
      </w:r>
      <w:r w:rsidRPr="00366F81">
        <w:rPr>
          <w:rFonts w:hint="eastAsia"/>
          <w:b/>
          <w:bCs/>
          <w:rtl/>
        </w:rPr>
        <w:t>התקנות</w:t>
      </w:r>
      <w:r>
        <w:rPr>
          <w:rFonts w:hint="cs"/>
          <w:rtl/>
        </w:rPr>
        <w:t>)</w:t>
      </w:r>
      <w:r w:rsidRPr="00152A42">
        <w:rPr>
          <w:rtl/>
        </w:rPr>
        <w:t xml:space="preserve">, </w:t>
      </w:r>
      <w:r w:rsidRPr="00152A42">
        <w:rPr>
          <w:rFonts w:hint="eastAsia"/>
          <w:rtl/>
        </w:rPr>
        <w:t>לטובת</w:t>
      </w:r>
      <w:r w:rsidRPr="00152A42">
        <w:rPr>
          <w:rtl/>
        </w:rPr>
        <w:t xml:space="preserve"> </w:t>
      </w:r>
      <w:r w:rsidRPr="00152A42">
        <w:rPr>
          <w:rFonts w:hint="eastAsia"/>
          <w:rtl/>
        </w:rPr>
        <w:t>רכישת</w:t>
      </w:r>
      <w:r w:rsidRPr="00152A42">
        <w:rPr>
          <w:rtl/>
        </w:rPr>
        <w:t xml:space="preserve"> </w:t>
      </w:r>
      <w:r w:rsidRPr="00152A42">
        <w:rPr>
          <w:rFonts w:hint="eastAsia"/>
          <w:rtl/>
        </w:rPr>
        <w:t>מ</w:t>
      </w:r>
      <w:r>
        <w:rPr>
          <w:rFonts w:hint="cs"/>
          <w:rtl/>
        </w:rPr>
        <w:t>י</w:t>
      </w:r>
      <w:r w:rsidRPr="00152A42">
        <w:rPr>
          <w:rFonts w:hint="eastAsia"/>
          <w:rtl/>
        </w:rPr>
        <w:t>נוי</w:t>
      </w:r>
      <w:r w:rsidRPr="00152A42">
        <w:rPr>
          <w:rtl/>
        </w:rPr>
        <w:t xml:space="preserve"> </w:t>
      </w:r>
      <w:r>
        <w:rPr>
          <w:rFonts w:hint="cs"/>
          <w:rtl/>
        </w:rPr>
        <w:t xml:space="preserve">למגזין ולאתר האינטרנט של החברה. </w:t>
      </w:r>
    </w:p>
    <w:p w:rsidR="00F8663A" w:rsidRDefault="00F8663A" w:rsidP="00F8663A">
      <w:pPr>
        <w:rPr>
          <w:rtl/>
        </w:rPr>
      </w:pPr>
      <w:r>
        <w:rPr>
          <w:rFonts w:hint="cs"/>
          <w:rtl/>
        </w:rPr>
        <w:t>הרשות</w:t>
      </w:r>
      <w:r w:rsidRPr="00152A42">
        <w:rPr>
          <w:rtl/>
        </w:rPr>
        <w:t xml:space="preserve"> </w:t>
      </w:r>
      <w:r w:rsidRPr="00152A42">
        <w:rPr>
          <w:rFonts w:hint="eastAsia"/>
          <w:rtl/>
        </w:rPr>
        <w:t>מופקד</w:t>
      </w:r>
      <w:r>
        <w:rPr>
          <w:rFonts w:hint="cs"/>
          <w:rtl/>
        </w:rPr>
        <w:t>ת</w:t>
      </w:r>
      <w:r w:rsidRPr="00152A42">
        <w:rPr>
          <w:rtl/>
        </w:rPr>
        <w:t xml:space="preserve"> </w:t>
      </w:r>
      <w:r w:rsidRPr="00152A42">
        <w:rPr>
          <w:rFonts w:hint="eastAsia"/>
          <w:rtl/>
        </w:rPr>
        <w:t>על</w:t>
      </w:r>
      <w:r w:rsidRPr="00152A42">
        <w:rPr>
          <w:rtl/>
        </w:rPr>
        <w:t xml:space="preserve"> </w:t>
      </w:r>
      <w:r w:rsidRPr="00152A42">
        <w:rPr>
          <w:rFonts w:hint="eastAsia"/>
          <w:rtl/>
        </w:rPr>
        <w:t>השירותים</w:t>
      </w:r>
      <w:r w:rsidRPr="00152A42">
        <w:rPr>
          <w:rtl/>
        </w:rPr>
        <w:t xml:space="preserve"> </w:t>
      </w:r>
      <w:r w:rsidRPr="00152A42">
        <w:rPr>
          <w:rFonts w:hint="eastAsia"/>
          <w:rtl/>
        </w:rPr>
        <w:t>הפיננסיים</w:t>
      </w:r>
      <w:r w:rsidRPr="00152A42">
        <w:rPr>
          <w:rtl/>
        </w:rPr>
        <w:t xml:space="preserve"> </w:t>
      </w:r>
      <w:r w:rsidRPr="00152A42">
        <w:rPr>
          <w:rFonts w:hint="eastAsia"/>
          <w:rtl/>
        </w:rPr>
        <w:t>בשווקי</w:t>
      </w:r>
      <w:r w:rsidRPr="00152A42">
        <w:rPr>
          <w:rtl/>
        </w:rPr>
        <w:t xml:space="preserve"> </w:t>
      </w:r>
      <w:r w:rsidRPr="00152A42">
        <w:rPr>
          <w:rFonts w:hint="eastAsia"/>
          <w:rtl/>
        </w:rPr>
        <w:t>הביטוח</w:t>
      </w:r>
      <w:r w:rsidRPr="00152A42">
        <w:rPr>
          <w:rtl/>
        </w:rPr>
        <w:t xml:space="preserve">, </w:t>
      </w:r>
      <w:r w:rsidRPr="00152A42">
        <w:rPr>
          <w:rFonts w:hint="eastAsia"/>
          <w:rtl/>
        </w:rPr>
        <w:t>הפנסיה</w:t>
      </w:r>
      <w:r w:rsidRPr="00152A42">
        <w:rPr>
          <w:rtl/>
        </w:rPr>
        <w:t xml:space="preserve"> </w:t>
      </w:r>
      <w:r w:rsidRPr="00152A42">
        <w:rPr>
          <w:rFonts w:hint="eastAsia"/>
          <w:rtl/>
        </w:rPr>
        <w:t>והגמל</w:t>
      </w:r>
      <w:r w:rsidRPr="00152A42">
        <w:rPr>
          <w:rtl/>
        </w:rPr>
        <w:t xml:space="preserve">. </w:t>
      </w:r>
      <w:r>
        <w:rPr>
          <w:rFonts w:hint="cs"/>
          <w:rtl/>
        </w:rPr>
        <w:t xml:space="preserve">בין היתר, </w:t>
      </w:r>
      <w:r w:rsidRPr="00152A42">
        <w:rPr>
          <w:rFonts w:hint="eastAsia"/>
          <w:rtl/>
        </w:rPr>
        <w:t>ייעוד</w:t>
      </w:r>
      <w:r>
        <w:rPr>
          <w:rFonts w:hint="cs"/>
          <w:rtl/>
        </w:rPr>
        <w:t>ה</w:t>
      </w:r>
      <w:r w:rsidRPr="00152A42">
        <w:rPr>
          <w:rtl/>
        </w:rPr>
        <w:t xml:space="preserve"> </w:t>
      </w:r>
      <w:r w:rsidRPr="00152A42">
        <w:rPr>
          <w:rFonts w:hint="eastAsia"/>
          <w:rtl/>
        </w:rPr>
        <w:t>של</w:t>
      </w:r>
      <w:r w:rsidRPr="00152A42">
        <w:rPr>
          <w:rtl/>
        </w:rPr>
        <w:t xml:space="preserve"> </w:t>
      </w:r>
      <w:r w:rsidRPr="00152A42">
        <w:rPr>
          <w:rFonts w:hint="eastAsia"/>
          <w:rtl/>
        </w:rPr>
        <w:t>ה</w:t>
      </w:r>
      <w:r>
        <w:rPr>
          <w:rFonts w:hint="cs"/>
          <w:rtl/>
        </w:rPr>
        <w:t>רשות</w:t>
      </w:r>
      <w:r w:rsidRPr="00152A42">
        <w:rPr>
          <w:rtl/>
        </w:rPr>
        <w:t xml:space="preserve"> </w:t>
      </w:r>
      <w:r w:rsidRPr="00152A42">
        <w:rPr>
          <w:rFonts w:hint="eastAsia"/>
          <w:rtl/>
        </w:rPr>
        <w:t>הוא</w:t>
      </w:r>
      <w:r w:rsidRPr="00152A42">
        <w:rPr>
          <w:rtl/>
        </w:rPr>
        <w:t xml:space="preserve"> </w:t>
      </w:r>
      <w:r w:rsidRPr="00152A42">
        <w:rPr>
          <w:rFonts w:hint="eastAsia"/>
          <w:rtl/>
        </w:rPr>
        <w:t>לשמור</w:t>
      </w:r>
      <w:r w:rsidRPr="00152A42">
        <w:rPr>
          <w:rtl/>
        </w:rPr>
        <w:t xml:space="preserve"> </w:t>
      </w:r>
      <w:r w:rsidRPr="00152A42">
        <w:rPr>
          <w:rFonts w:hint="eastAsia"/>
          <w:rtl/>
        </w:rPr>
        <w:t>על</w:t>
      </w:r>
      <w:r w:rsidRPr="00152A42">
        <w:rPr>
          <w:rtl/>
        </w:rPr>
        <w:t xml:space="preserve"> </w:t>
      </w:r>
      <w:r w:rsidRPr="00152A42">
        <w:rPr>
          <w:rFonts w:hint="eastAsia"/>
          <w:rtl/>
        </w:rPr>
        <w:t>יציבות</w:t>
      </w:r>
      <w:r w:rsidRPr="00152A42">
        <w:rPr>
          <w:rtl/>
        </w:rPr>
        <w:t xml:space="preserve"> </w:t>
      </w:r>
      <w:r w:rsidRPr="00152A42">
        <w:rPr>
          <w:rFonts w:hint="eastAsia"/>
          <w:rtl/>
        </w:rPr>
        <w:t>וחוסן</w:t>
      </w:r>
      <w:r w:rsidRPr="00152A42">
        <w:rPr>
          <w:rtl/>
        </w:rPr>
        <w:t xml:space="preserve"> </w:t>
      </w:r>
      <w:r w:rsidRPr="00152A42">
        <w:rPr>
          <w:rFonts w:hint="eastAsia"/>
          <w:rtl/>
        </w:rPr>
        <w:t>המוסדות</w:t>
      </w:r>
      <w:r w:rsidRPr="00152A42">
        <w:rPr>
          <w:rtl/>
        </w:rPr>
        <w:t xml:space="preserve"> </w:t>
      </w:r>
      <w:r w:rsidRPr="00152A42">
        <w:rPr>
          <w:rFonts w:hint="eastAsia"/>
          <w:rtl/>
        </w:rPr>
        <w:t>המפוקחים</w:t>
      </w:r>
      <w:r w:rsidRPr="00152A42">
        <w:rPr>
          <w:rtl/>
        </w:rPr>
        <w:t xml:space="preserve"> </w:t>
      </w:r>
      <w:r w:rsidRPr="00152A42">
        <w:rPr>
          <w:rFonts w:hint="eastAsia"/>
          <w:rtl/>
        </w:rPr>
        <w:t>על</w:t>
      </w:r>
      <w:r w:rsidRPr="00152A42">
        <w:rPr>
          <w:rtl/>
        </w:rPr>
        <w:t xml:space="preserve"> </w:t>
      </w:r>
      <w:r w:rsidRPr="00152A42">
        <w:rPr>
          <w:rFonts w:hint="eastAsia"/>
          <w:rtl/>
        </w:rPr>
        <w:t>יד</w:t>
      </w:r>
      <w:r>
        <w:rPr>
          <w:rFonts w:hint="cs"/>
          <w:rtl/>
        </w:rPr>
        <w:t>ה</w:t>
      </w:r>
      <w:r w:rsidRPr="00152A42">
        <w:rPr>
          <w:rtl/>
        </w:rPr>
        <w:t xml:space="preserve"> </w:t>
      </w:r>
      <w:r w:rsidRPr="00152A42">
        <w:rPr>
          <w:rFonts w:hint="eastAsia"/>
          <w:rtl/>
        </w:rPr>
        <w:t>ועל</w:t>
      </w:r>
      <w:r w:rsidRPr="00152A42">
        <w:rPr>
          <w:rtl/>
        </w:rPr>
        <w:t xml:space="preserve"> </w:t>
      </w:r>
      <w:r w:rsidRPr="00152A42">
        <w:rPr>
          <w:rFonts w:hint="eastAsia"/>
          <w:rtl/>
        </w:rPr>
        <w:t>ניהולם</w:t>
      </w:r>
      <w:r w:rsidRPr="00152A42">
        <w:rPr>
          <w:rtl/>
        </w:rPr>
        <w:t xml:space="preserve"> </w:t>
      </w:r>
      <w:r w:rsidRPr="00152A42">
        <w:rPr>
          <w:rFonts w:hint="eastAsia"/>
          <w:rtl/>
        </w:rPr>
        <w:t>התקין</w:t>
      </w:r>
      <w:r w:rsidRPr="00152A42">
        <w:rPr>
          <w:rtl/>
        </w:rPr>
        <w:t xml:space="preserve">, </w:t>
      </w:r>
      <w:r w:rsidRPr="00152A42">
        <w:rPr>
          <w:rFonts w:hint="eastAsia"/>
          <w:rtl/>
        </w:rPr>
        <w:t>כדי</w:t>
      </w:r>
      <w:r w:rsidRPr="00152A42">
        <w:rPr>
          <w:rtl/>
        </w:rPr>
        <w:t xml:space="preserve"> </w:t>
      </w:r>
      <w:r w:rsidRPr="00152A42">
        <w:rPr>
          <w:rFonts w:hint="eastAsia"/>
          <w:rtl/>
        </w:rPr>
        <w:t>שיוכלו</w:t>
      </w:r>
      <w:r w:rsidRPr="00152A42">
        <w:rPr>
          <w:rtl/>
        </w:rPr>
        <w:t xml:space="preserve"> </w:t>
      </w:r>
      <w:r w:rsidRPr="00152A42">
        <w:rPr>
          <w:rFonts w:hint="eastAsia"/>
          <w:rtl/>
        </w:rPr>
        <w:t>לעמוד</w:t>
      </w:r>
      <w:r w:rsidRPr="00152A42">
        <w:rPr>
          <w:rtl/>
        </w:rPr>
        <w:t xml:space="preserve"> </w:t>
      </w:r>
      <w:r w:rsidRPr="00152A42">
        <w:rPr>
          <w:rFonts w:hint="eastAsia"/>
          <w:rtl/>
        </w:rPr>
        <w:t>בפירעון</w:t>
      </w:r>
      <w:r w:rsidRPr="00152A42">
        <w:rPr>
          <w:rtl/>
        </w:rPr>
        <w:t xml:space="preserve"> </w:t>
      </w:r>
      <w:r w:rsidRPr="00152A42">
        <w:rPr>
          <w:rFonts w:hint="eastAsia"/>
          <w:rtl/>
        </w:rPr>
        <w:t>התחייבויותיהם</w:t>
      </w:r>
      <w:r w:rsidRPr="00152A42">
        <w:rPr>
          <w:rtl/>
        </w:rPr>
        <w:t xml:space="preserve"> </w:t>
      </w:r>
      <w:r w:rsidRPr="00152A42">
        <w:rPr>
          <w:rFonts w:hint="eastAsia"/>
          <w:rtl/>
        </w:rPr>
        <w:t>לציבור</w:t>
      </w:r>
      <w:r w:rsidRPr="00152A42">
        <w:rPr>
          <w:rtl/>
        </w:rPr>
        <w:t xml:space="preserve">. </w:t>
      </w:r>
      <w:r w:rsidRPr="00152A42">
        <w:rPr>
          <w:rFonts w:hint="eastAsia"/>
          <w:rtl/>
        </w:rPr>
        <w:t>ה</w:t>
      </w:r>
      <w:r>
        <w:rPr>
          <w:rFonts w:hint="cs"/>
          <w:rtl/>
        </w:rPr>
        <w:t>רשות</w:t>
      </w:r>
      <w:r w:rsidRPr="00152A42">
        <w:rPr>
          <w:rtl/>
        </w:rPr>
        <w:t xml:space="preserve"> </w:t>
      </w:r>
      <w:r w:rsidRPr="00152A42">
        <w:rPr>
          <w:rFonts w:hint="eastAsia"/>
          <w:rtl/>
        </w:rPr>
        <w:t>פועל</w:t>
      </w:r>
      <w:r>
        <w:rPr>
          <w:rFonts w:hint="cs"/>
          <w:rtl/>
        </w:rPr>
        <w:t>ת</w:t>
      </w:r>
      <w:r w:rsidRPr="00152A42">
        <w:rPr>
          <w:rtl/>
        </w:rPr>
        <w:t xml:space="preserve"> </w:t>
      </w:r>
      <w:r w:rsidRPr="00152A42">
        <w:rPr>
          <w:rFonts w:hint="eastAsia"/>
          <w:rtl/>
        </w:rPr>
        <w:t>במספר</w:t>
      </w:r>
      <w:r w:rsidRPr="00152A42">
        <w:rPr>
          <w:rtl/>
        </w:rPr>
        <w:t xml:space="preserve"> </w:t>
      </w:r>
      <w:r w:rsidRPr="00152A42">
        <w:rPr>
          <w:rFonts w:hint="eastAsia"/>
          <w:rtl/>
        </w:rPr>
        <w:t>מישורים</w:t>
      </w:r>
      <w:r w:rsidRPr="00152A42">
        <w:rPr>
          <w:rtl/>
        </w:rPr>
        <w:t xml:space="preserve"> </w:t>
      </w:r>
      <w:r w:rsidRPr="00152A42">
        <w:rPr>
          <w:rFonts w:hint="eastAsia"/>
          <w:rtl/>
        </w:rPr>
        <w:t>כדי</w:t>
      </w:r>
      <w:r w:rsidRPr="00152A42">
        <w:rPr>
          <w:rtl/>
        </w:rPr>
        <w:t xml:space="preserve"> </w:t>
      </w:r>
      <w:r w:rsidRPr="00152A42">
        <w:rPr>
          <w:rFonts w:hint="eastAsia"/>
          <w:rtl/>
        </w:rPr>
        <w:t>להשיג</w:t>
      </w:r>
      <w:r w:rsidRPr="00152A42">
        <w:rPr>
          <w:rtl/>
        </w:rPr>
        <w:t xml:space="preserve"> </w:t>
      </w:r>
      <w:r>
        <w:rPr>
          <w:rFonts w:hint="cs"/>
          <w:rtl/>
        </w:rPr>
        <w:t>יעד זה</w:t>
      </w:r>
      <w:r w:rsidRPr="00152A42">
        <w:rPr>
          <w:rtl/>
        </w:rPr>
        <w:t xml:space="preserve">: </w:t>
      </w:r>
      <w:r w:rsidRPr="00152A42">
        <w:rPr>
          <w:rFonts w:hint="eastAsia"/>
          <w:rtl/>
        </w:rPr>
        <w:t>הסדרת</w:t>
      </w:r>
      <w:r w:rsidRPr="00152A42">
        <w:rPr>
          <w:rtl/>
        </w:rPr>
        <w:t xml:space="preserve"> </w:t>
      </w:r>
      <w:r w:rsidRPr="00152A42">
        <w:rPr>
          <w:rFonts w:hint="eastAsia"/>
          <w:rtl/>
        </w:rPr>
        <w:t>פעילות</w:t>
      </w:r>
      <w:r w:rsidRPr="00152A42">
        <w:rPr>
          <w:rtl/>
        </w:rPr>
        <w:t xml:space="preserve"> </w:t>
      </w:r>
      <w:r w:rsidRPr="00152A42">
        <w:rPr>
          <w:rFonts w:hint="eastAsia"/>
          <w:rtl/>
        </w:rPr>
        <w:t>גופים</w:t>
      </w:r>
      <w:r w:rsidRPr="00152A42">
        <w:rPr>
          <w:rtl/>
        </w:rPr>
        <w:t xml:space="preserve"> </w:t>
      </w:r>
      <w:r w:rsidRPr="00152A42">
        <w:rPr>
          <w:rFonts w:hint="eastAsia"/>
          <w:rtl/>
        </w:rPr>
        <w:t>מפוקחים</w:t>
      </w:r>
      <w:r w:rsidRPr="00152A42">
        <w:rPr>
          <w:rtl/>
        </w:rPr>
        <w:t xml:space="preserve">, </w:t>
      </w:r>
      <w:r w:rsidRPr="00152A42">
        <w:rPr>
          <w:rFonts w:hint="eastAsia"/>
          <w:rtl/>
        </w:rPr>
        <w:t>ביקורת</w:t>
      </w:r>
      <w:r w:rsidRPr="00152A42">
        <w:rPr>
          <w:rtl/>
        </w:rPr>
        <w:t xml:space="preserve"> </w:t>
      </w:r>
      <w:r w:rsidRPr="00152A42">
        <w:rPr>
          <w:rFonts w:hint="eastAsia"/>
          <w:rtl/>
        </w:rPr>
        <w:t>על</w:t>
      </w:r>
      <w:r w:rsidRPr="00152A42">
        <w:rPr>
          <w:rtl/>
        </w:rPr>
        <w:t xml:space="preserve"> </w:t>
      </w:r>
      <w:r w:rsidRPr="00152A42">
        <w:rPr>
          <w:rFonts w:hint="eastAsia"/>
          <w:rtl/>
        </w:rPr>
        <w:t>פעילותם</w:t>
      </w:r>
      <w:r w:rsidRPr="00152A42">
        <w:rPr>
          <w:rtl/>
        </w:rPr>
        <w:t xml:space="preserve"> </w:t>
      </w:r>
      <w:r w:rsidRPr="00152A42">
        <w:rPr>
          <w:rFonts w:hint="eastAsia"/>
          <w:rtl/>
        </w:rPr>
        <w:t>העסקית</w:t>
      </w:r>
      <w:r w:rsidRPr="00152A42">
        <w:rPr>
          <w:rtl/>
        </w:rPr>
        <w:t xml:space="preserve"> </w:t>
      </w:r>
      <w:r w:rsidRPr="00152A42">
        <w:rPr>
          <w:rFonts w:hint="eastAsia"/>
          <w:rtl/>
        </w:rPr>
        <w:t>ומעקב</w:t>
      </w:r>
      <w:r w:rsidRPr="00152A42">
        <w:rPr>
          <w:rtl/>
        </w:rPr>
        <w:t xml:space="preserve"> </w:t>
      </w:r>
      <w:r w:rsidRPr="00152A42">
        <w:rPr>
          <w:rFonts w:hint="eastAsia"/>
          <w:rtl/>
        </w:rPr>
        <w:t>שוטף</w:t>
      </w:r>
      <w:r w:rsidRPr="00152A42">
        <w:rPr>
          <w:rtl/>
        </w:rPr>
        <w:t xml:space="preserve"> </w:t>
      </w:r>
      <w:r w:rsidRPr="00152A42">
        <w:rPr>
          <w:rFonts w:hint="eastAsia"/>
          <w:rtl/>
        </w:rPr>
        <w:t>אחריהם</w:t>
      </w:r>
      <w:r w:rsidRPr="00152A42">
        <w:rPr>
          <w:rtl/>
        </w:rPr>
        <w:t xml:space="preserve">, </w:t>
      </w:r>
      <w:r w:rsidRPr="00152A42">
        <w:rPr>
          <w:rFonts w:hint="eastAsia"/>
          <w:rtl/>
        </w:rPr>
        <w:t>ובחינת</w:t>
      </w:r>
      <w:r w:rsidRPr="00152A42">
        <w:rPr>
          <w:rtl/>
        </w:rPr>
        <w:t xml:space="preserve"> </w:t>
      </w:r>
      <w:r w:rsidRPr="00152A42">
        <w:rPr>
          <w:rFonts w:hint="eastAsia"/>
          <w:rtl/>
        </w:rPr>
        <w:t>טיב</w:t>
      </w:r>
      <w:r w:rsidRPr="00152A42">
        <w:rPr>
          <w:rtl/>
        </w:rPr>
        <w:t xml:space="preserve"> </w:t>
      </w:r>
      <w:r w:rsidRPr="00152A42">
        <w:rPr>
          <w:rFonts w:hint="eastAsia"/>
          <w:rtl/>
        </w:rPr>
        <w:t>היחסים</w:t>
      </w:r>
      <w:r w:rsidRPr="00152A42">
        <w:rPr>
          <w:rtl/>
        </w:rPr>
        <w:t xml:space="preserve"> </w:t>
      </w:r>
      <w:r w:rsidRPr="00152A42">
        <w:rPr>
          <w:rFonts w:hint="eastAsia"/>
          <w:rtl/>
        </w:rPr>
        <w:t>שבין</w:t>
      </w:r>
      <w:r w:rsidRPr="00152A42">
        <w:rPr>
          <w:rtl/>
        </w:rPr>
        <w:t xml:space="preserve"> </w:t>
      </w:r>
      <w:r w:rsidRPr="00152A42">
        <w:rPr>
          <w:rFonts w:hint="eastAsia"/>
          <w:rtl/>
        </w:rPr>
        <w:t>גופים</w:t>
      </w:r>
      <w:r w:rsidRPr="00152A42">
        <w:rPr>
          <w:rtl/>
        </w:rPr>
        <w:t xml:space="preserve"> </w:t>
      </w:r>
      <w:r w:rsidRPr="00152A42">
        <w:rPr>
          <w:rFonts w:hint="eastAsia"/>
          <w:rtl/>
        </w:rPr>
        <w:t>מפוקחים</w:t>
      </w:r>
      <w:r w:rsidRPr="00152A42">
        <w:rPr>
          <w:rtl/>
        </w:rPr>
        <w:t xml:space="preserve"> </w:t>
      </w:r>
      <w:r w:rsidRPr="00152A42">
        <w:rPr>
          <w:rFonts w:hint="eastAsia"/>
          <w:rtl/>
        </w:rPr>
        <w:t>ללקוחותיהם</w:t>
      </w:r>
      <w:r w:rsidRPr="00152A42">
        <w:rPr>
          <w:rtl/>
        </w:rPr>
        <w:t>.</w:t>
      </w:r>
      <w:r>
        <w:rPr>
          <w:rFonts w:hint="cs"/>
          <w:rtl/>
        </w:rPr>
        <w:t xml:space="preserve"> </w:t>
      </w:r>
    </w:p>
    <w:p w:rsidR="00F8663A" w:rsidRDefault="00F8663A" w:rsidP="00F8663A">
      <w:pPr>
        <w:rPr>
          <w:rtl/>
        </w:rPr>
      </w:pPr>
      <w:r>
        <w:rPr>
          <w:rFonts w:hint="cs"/>
          <w:rtl/>
        </w:rPr>
        <w:t>לצורך עדכונם השוטף של עובדי הרשות בשינויים הרלוונטיים בשווקים ובגופים עליהם הם מפקחים, הרשות התקשרה עם החברה מזה מספר שנים לאספקת שירותי עיתונות בתחום שוק ההון, ביטוח וחיסכון.</w:t>
      </w:r>
    </w:p>
    <w:p w:rsidR="00F8663A" w:rsidRPr="00691DB3" w:rsidRDefault="00F8663A" w:rsidP="00F8663A">
      <w:pPr>
        <w:rPr>
          <w:rtl/>
        </w:rPr>
      </w:pPr>
      <w:r w:rsidRPr="00691DB3">
        <w:rPr>
          <w:rtl/>
        </w:rPr>
        <w:t xml:space="preserve">מכיוון שישנו רק מוציא לאור אחד </w:t>
      </w:r>
      <w:r>
        <w:rPr>
          <w:rFonts w:hint="cs"/>
          <w:rtl/>
        </w:rPr>
        <w:t>לעניין המינוי למגזין ולאתר האינטרנט של החברה</w:t>
      </w:r>
      <w:r w:rsidRPr="00691DB3">
        <w:rPr>
          <w:rtl/>
        </w:rPr>
        <w:t xml:space="preserve">, אשר יכול לספק אותו, וועדת המכרזים של הרשות מתייחסת להתקשרות עם העיתונים שלהלן לשנת 2019, בפטור ממכרז בעילת </w:t>
      </w:r>
      <w:r>
        <w:rPr>
          <w:rtl/>
        </w:rPr>
        <w:t>ספק יחיד מכוח תקנה 3(29) לתקנות</w:t>
      </w:r>
      <w:r>
        <w:rPr>
          <w:rFonts w:hint="cs"/>
          <w:rtl/>
        </w:rPr>
        <w:t>.</w:t>
      </w:r>
    </w:p>
    <w:p w:rsidR="00F8663A" w:rsidRDefault="00F8663A" w:rsidP="00F8663A">
      <w:pPr>
        <w:rPr>
          <w:rtl/>
        </w:rPr>
      </w:pPr>
      <w:r>
        <w:rPr>
          <w:rFonts w:hint="cs"/>
          <w:rtl/>
        </w:rPr>
        <w:t xml:space="preserve">תחומי עיסוקיה של החברה, כוללים בין היתר, עדכונים מקצועיים, הפצת מוצרים חדשים, שינויים של נושאי משרה, עדכונים לגבי שינויים בתחומים האמורים בחו"ל, הוצאת המגזין כאמור לעיל ועוד. </w:t>
      </w:r>
    </w:p>
    <w:p w:rsidR="00F8663A" w:rsidRDefault="00F8663A" w:rsidP="00F8663A">
      <w:pPr>
        <w:rPr>
          <w:rtl/>
        </w:rPr>
      </w:pPr>
      <w:r>
        <w:rPr>
          <w:rFonts w:hint="cs"/>
          <w:rtl/>
        </w:rPr>
        <w:t>יצוין כי העיתונות הכלכלית עוסקת, בין היתר, בנושאים שבטיפול הרשות. עם זאת, נושאים אלה תופסים נתח קטן מפעילותה והיא אינה כוללת עדכון של כל החדשות, קטנות כגדולות, בשוק. יצוין עוד כי החברה מקיימת כנסים רבים במהלך השנה בנושאי ביטוח, חיסכון פנסיוני, שיווק ועוד אשר כוללים הרצאות ופאנלים של ראשי ענף הביטוח והחיסכון ומקבלים ביטוי במגזין.</w:t>
      </w:r>
    </w:p>
    <w:p w:rsidR="00F8663A" w:rsidRDefault="00F8663A" w:rsidP="00F8663A">
      <w:pPr>
        <w:rPr>
          <w:rtl/>
        </w:rPr>
      </w:pPr>
      <w:r>
        <w:rPr>
          <w:rFonts w:hint="cs"/>
          <w:rtl/>
        </w:rPr>
        <w:t xml:space="preserve">תקופת ההתקשרות המבוקשת </w:t>
      </w:r>
      <w:r>
        <w:rPr>
          <w:rtl/>
        </w:rPr>
        <w:t>–</w:t>
      </w:r>
      <w:r>
        <w:rPr>
          <w:rFonts w:hint="cs"/>
          <w:rtl/>
        </w:rPr>
        <w:t xml:space="preserve"> 01.01.19-31.12.19</w:t>
      </w:r>
    </w:p>
    <w:p w:rsidR="00F8663A" w:rsidRDefault="00F8663A" w:rsidP="00F8663A">
      <w:pPr>
        <w:rPr>
          <w:rtl/>
        </w:rPr>
      </w:pPr>
      <w:r>
        <w:rPr>
          <w:rFonts w:hint="cs"/>
          <w:rtl/>
        </w:rPr>
        <w:t xml:space="preserve">היקף ההתקשרות 11,232 </w:t>
      </w:r>
      <w:r>
        <w:rPr>
          <w:rFonts w:hint="eastAsia"/>
          <w:rtl/>
        </w:rPr>
        <w:t>₪</w:t>
      </w:r>
      <w:r>
        <w:rPr>
          <w:rFonts w:hint="cs"/>
          <w:rtl/>
        </w:rPr>
        <w:t xml:space="preserve"> כולל מע"מ. </w:t>
      </w:r>
    </w:p>
    <w:p w:rsidR="00F8663A" w:rsidRDefault="00F8663A" w:rsidP="00F8663A">
      <w:pPr>
        <w:rPr>
          <w:rtl/>
        </w:rPr>
      </w:pPr>
    </w:p>
    <w:p w:rsidR="00F8663A" w:rsidRDefault="00F8663A" w:rsidP="00F8663A">
      <w:pPr>
        <w:ind w:left="4320"/>
        <w:rPr>
          <w:rtl/>
        </w:rPr>
      </w:pPr>
      <w:r>
        <w:rPr>
          <w:rFonts w:hint="cs"/>
          <w:rtl/>
        </w:rPr>
        <w:t>בברכה,</w:t>
      </w:r>
    </w:p>
    <w:p w:rsidR="00F8663A" w:rsidRDefault="00F8663A" w:rsidP="00F8663A">
      <w:pPr>
        <w:ind w:left="4320"/>
        <w:rPr>
          <w:rtl/>
        </w:rPr>
      </w:pPr>
    </w:p>
    <w:p w:rsidR="00F8663A" w:rsidRDefault="00F8663A" w:rsidP="00F8663A">
      <w:pPr>
        <w:ind w:left="4320"/>
        <w:rPr>
          <w:rtl/>
        </w:rPr>
      </w:pPr>
    </w:p>
    <w:p w:rsidR="00F8663A" w:rsidRDefault="00F8663A" w:rsidP="00F8663A">
      <w:pPr>
        <w:ind w:left="4320"/>
        <w:rPr>
          <w:rtl/>
        </w:rPr>
      </w:pPr>
      <w:r>
        <w:rPr>
          <w:rFonts w:hint="cs"/>
          <w:rtl/>
        </w:rPr>
        <w:t>אוהד מעודי, יועץ בכיר לממונה על שוק ההון, ביטוח וחיסכון</w:t>
      </w:r>
    </w:p>
    <w:p w:rsidR="00F8663A" w:rsidRPr="009B41E4" w:rsidRDefault="00F8663A" w:rsidP="00F8663A">
      <w:pPr>
        <w:pStyle w:val="1"/>
        <w:rPr>
          <w:rtl/>
        </w:rPr>
      </w:pPr>
    </w:p>
    <w:p w:rsidR="00F8663A" w:rsidRDefault="00F8663A" w:rsidP="00F8663A">
      <w:pPr>
        <w:rPr>
          <w:rtl/>
        </w:rPr>
      </w:pPr>
    </w:p>
    <w:p w:rsidR="005B0350" w:rsidRDefault="00F8663A" w:rsidP="00F8663A">
      <w:pPr>
        <w:tabs>
          <w:tab w:val="left" w:pos="4754"/>
        </w:tabs>
      </w:pPr>
      <w:r>
        <w:rPr>
          <w:rtl/>
        </w:rPr>
        <w:tab/>
      </w:r>
      <w:bookmarkStart w:id="0" w:name="_GoBack"/>
      <w:bookmarkEnd w:id="0"/>
    </w:p>
    <w:sectPr w:rsidR="005B0350" w:rsidSect="009F3B96">
      <w:headerReference w:type="default" r:id="rId6"/>
      <w:footerReference w:type="default" r:id="rId7"/>
      <w:pgSz w:w="11906" w:h="16838"/>
      <w:pgMar w:top="1440" w:right="1800" w:bottom="1440" w:left="1800" w:header="720" w:footer="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5187" w:rsidRDefault="00595187" w:rsidP="00F8663A">
      <w:pPr>
        <w:spacing w:line="240" w:lineRule="auto"/>
      </w:pPr>
      <w:r>
        <w:separator/>
      </w:r>
    </w:p>
  </w:endnote>
  <w:endnote w:type="continuationSeparator" w:id="0">
    <w:p w:rsidR="00595187" w:rsidRDefault="00595187" w:rsidP="00F866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3B96" w:rsidRPr="00060494" w:rsidRDefault="00595187" w:rsidP="009F3B96">
    <w:pPr>
      <w:pStyle w:val="a6"/>
      <w:pBdr>
        <w:top w:val="single" w:sz="4" w:space="1" w:color="auto"/>
      </w:pBdr>
      <w:tabs>
        <w:tab w:val="clear" w:pos="4153"/>
        <w:tab w:val="clear" w:pos="8306"/>
        <w:tab w:val="center" w:pos="4780"/>
        <w:tab w:val="right" w:pos="9666"/>
      </w:tabs>
      <w:spacing w:line="480" w:lineRule="auto"/>
      <w:rPr>
        <w:rFonts w:cs="Times New Roman"/>
        <w:b/>
        <w:bCs/>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p w:rsidR="009F3B96" w:rsidRPr="009F3B96" w:rsidRDefault="0059518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5187" w:rsidRDefault="00595187" w:rsidP="00F8663A">
      <w:pPr>
        <w:spacing w:line="240" w:lineRule="auto"/>
      </w:pPr>
      <w:r>
        <w:separator/>
      </w:r>
    </w:p>
  </w:footnote>
  <w:footnote w:type="continuationSeparator" w:id="0">
    <w:p w:rsidR="00595187" w:rsidRDefault="00595187" w:rsidP="00F8663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0B2" w:rsidRDefault="00F8663A" w:rsidP="001920B6">
    <w:pPr>
      <w:pStyle w:val="a4"/>
      <w:spacing w:line="276" w:lineRule="auto"/>
      <w:jc w:val="center"/>
      <w:rPr>
        <w:b/>
        <w:bCs/>
        <w:sz w:val="23"/>
        <w:szCs w:val="31"/>
        <w:rtl/>
      </w:rPr>
    </w:pPr>
    <w:r>
      <w:rPr>
        <w:b/>
        <w:bCs/>
        <w:noProof/>
        <w:sz w:val="23"/>
        <w:szCs w:val="31"/>
        <w:rtl/>
        <w:lang w:eastAsia="en-US"/>
      </w:rPr>
      <w:drawing>
        <wp:anchor distT="0" distB="0" distL="114300" distR="114300" simplePos="0" relativeHeight="251660288" behindDoc="0" locked="0" layoutInCell="1" allowOverlap="1">
          <wp:simplePos x="0" y="0"/>
          <wp:positionH relativeFrom="margin">
            <wp:align>center</wp:align>
          </wp:positionH>
          <wp:positionV relativeFrom="margin">
            <wp:posOffset>-1349572</wp:posOffset>
          </wp:positionV>
          <wp:extent cx="560705" cy="44513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445135"/>
                  </a:xfrm>
                  <a:prstGeom prst="rect">
                    <a:avLst/>
                  </a:prstGeom>
                  <a:noFill/>
                </pic:spPr>
              </pic:pic>
            </a:graphicData>
          </a:graphic>
          <wp14:sizeRelH relativeFrom="page">
            <wp14:pctWidth>0</wp14:pctWidth>
          </wp14:sizeRelH>
          <wp14:sizeRelV relativeFrom="page">
            <wp14:pctHeight>0</wp14:pctHeight>
          </wp14:sizeRelV>
        </wp:anchor>
      </w:drawing>
    </w:r>
  </w:p>
  <w:p w:rsidR="00F8663A" w:rsidRDefault="00F8663A" w:rsidP="001920B6">
    <w:pPr>
      <w:pStyle w:val="a4"/>
      <w:spacing w:line="276" w:lineRule="auto"/>
      <w:jc w:val="center"/>
      <w:rPr>
        <w:b/>
        <w:bCs/>
        <w:sz w:val="23"/>
        <w:szCs w:val="31"/>
        <w:rtl/>
      </w:rPr>
    </w:pPr>
  </w:p>
  <w:p w:rsidR="001920B6" w:rsidRPr="00F520B2" w:rsidRDefault="00F8663A" w:rsidP="001920B6">
    <w:pPr>
      <w:pStyle w:val="a4"/>
      <w:spacing w:line="276" w:lineRule="auto"/>
      <w:jc w:val="center"/>
      <w:rPr>
        <w:rFonts w:hint="cs"/>
        <w:b/>
        <w:bCs/>
        <w:sz w:val="23"/>
        <w:szCs w:val="31"/>
        <w:rtl/>
      </w:rPr>
    </w:pPr>
    <w:r>
      <w:rPr>
        <w:noProof/>
        <w:lang w:eastAsia="en-US"/>
      </w:rPr>
      <w:drawing>
        <wp:anchor distT="0" distB="2413" distL="114300" distR="114935" simplePos="0" relativeHeight="251659264" behindDoc="0" locked="0" layoutInCell="1" allowOverlap="1">
          <wp:simplePos x="0" y="0"/>
          <wp:positionH relativeFrom="page">
            <wp:posOffset>227330</wp:posOffset>
          </wp:positionH>
          <wp:positionV relativeFrom="page">
            <wp:posOffset>163195</wp:posOffset>
          </wp:positionV>
          <wp:extent cx="913765" cy="747522"/>
          <wp:effectExtent l="0" t="0" r="635" b="0"/>
          <wp:wrapNone/>
          <wp:docPr id="1" name="תמונה 1"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amlil70" title="סמליל 70 לישראל"/>
                  <pic:cNvPicPr/>
                </pic:nvPicPr>
                <pic:blipFill>
                  <a:blip r:embed="rId2"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14:sizeRelH relativeFrom="page">
            <wp14:pctWidth>0</wp14:pctWidth>
          </wp14:sizeRelH>
          <wp14:sizeRelV relativeFrom="page">
            <wp14:pctHeight>0</wp14:pctHeight>
          </wp14:sizeRelV>
        </wp:anchor>
      </w:drawing>
    </w:r>
    <w:r w:rsidR="00595187">
      <w:rPr>
        <w:b/>
        <w:bCs/>
        <w:sz w:val="23"/>
        <w:szCs w:val="31"/>
        <w:rtl/>
      </w:rPr>
      <w:t xml:space="preserve">ועדת </w:t>
    </w:r>
    <w:r w:rsidR="00595187">
      <w:rPr>
        <w:rFonts w:hint="cs"/>
        <w:b/>
        <w:bCs/>
        <w:sz w:val="23"/>
        <w:szCs w:val="31"/>
        <w:rtl/>
      </w:rPr>
      <w:t>ה</w:t>
    </w:r>
    <w:r w:rsidR="00595187">
      <w:rPr>
        <w:b/>
        <w:bCs/>
        <w:sz w:val="23"/>
        <w:szCs w:val="31"/>
        <w:rtl/>
      </w:rPr>
      <w:t xml:space="preserve">מכרזים </w:t>
    </w:r>
    <w:r w:rsidR="00595187">
      <w:rPr>
        <w:b/>
        <w:bCs/>
        <w:sz w:val="23"/>
        <w:szCs w:val="31"/>
        <w:rtl/>
      </w:rPr>
      <w:br/>
    </w:r>
    <w:r w:rsidR="00595187">
      <w:rPr>
        <w:rFonts w:hint="cs"/>
        <w:b/>
        <w:bCs/>
        <w:sz w:val="23"/>
        <w:szCs w:val="31"/>
        <w:rtl/>
      </w:rPr>
      <w:t xml:space="preserve">רשות </w:t>
    </w:r>
    <w:r w:rsidR="00595187">
      <w:rPr>
        <w:rFonts w:hint="cs"/>
        <w:b/>
        <w:bCs/>
        <w:sz w:val="23"/>
        <w:szCs w:val="31"/>
        <w:rtl/>
      </w:rPr>
      <w:t>שוק ההון</w:t>
    </w:r>
    <w:r w:rsidR="00595187">
      <w:rPr>
        <w:rFonts w:hint="cs"/>
        <w:b/>
        <w:bCs/>
        <w:sz w:val="23"/>
        <w:szCs w:val="31"/>
        <w:rtl/>
      </w:rPr>
      <w:t>, ביטוח וחיסכון</w:t>
    </w:r>
    <w:r w:rsidR="00595187">
      <w:rPr>
        <w:rFonts w:hint="cs"/>
        <w:b/>
        <w:bCs/>
        <w:sz w:val="23"/>
        <w:szCs w:val="31"/>
        <w:rtl/>
      </w:rPr>
      <w:t xml:space="preserve"> </w:t>
    </w:r>
  </w:p>
  <w:p w:rsidR="00C900F7" w:rsidRDefault="00595187" w:rsidP="009354C3">
    <w:pPr>
      <w:pStyle w:val="a4"/>
      <w:spacing w:line="276" w:lineRule="auto"/>
      <w:jc w:val="center"/>
      <w:rPr>
        <w:rFonts w:hint="cs"/>
      </w:rPr>
    </w:pPr>
    <w:r>
      <w:rPr>
        <w:rtl/>
      </w:rPr>
      <w:b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8DE"/>
    <w:rsid w:val="00595187"/>
    <w:rsid w:val="005B0350"/>
    <w:rsid w:val="0090313D"/>
    <w:rsid w:val="00A648DE"/>
    <w:rsid w:val="00F866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1C0D86"/>
  <w15:chartTrackingRefBased/>
  <w15:docId w15:val="{AE9FB013-3623-42ED-8507-A7B2B5C82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1"/>
    <w:qFormat/>
    <w:rsid w:val="00F8663A"/>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ה_1"/>
    <w:basedOn w:val="a"/>
    <w:rsid w:val="00F8663A"/>
    <w:pPr>
      <w:ind w:left="425"/>
    </w:pPr>
  </w:style>
  <w:style w:type="paragraph" w:customStyle="1" w:styleId="a3">
    <w:name w:val=" תו תו תו תו תו תו תו תו"/>
    <w:aliases w:val=" תו תו תו תו תו תו1 תו תו תו"/>
    <w:basedOn w:val="a"/>
    <w:rsid w:val="00F8663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styleId="a4">
    <w:name w:val="header"/>
    <w:basedOn w:val="a"/>
    <w:link w:val="a5"/>
    <w:rsid w:val="00F8663A"/>
    <w:pPr>
      <w:tabs>
        <w:tab w:val="center" w:pos="4153"/>
        <w:tab w:val="right" w:pos="8306"/>
      </w:tabs>
    </w:pPr>
  </w:style>
  <w:style w:type="character" w:customStyle="1" w:styleId="a5">
    <w:name w:val="כותרת עליונה תו"/>
    <w:basedOn w:val="a0"/>
    <w:link w:val="a4"/>
    <w:rsid w:val="00F8663A"/>
    <w:rPr>
      <w:rFonts w:ascii="Times New Roman" w:eastAsia="Times New Roman" w:hAnsi="Times New Roman" w:cs="David"/>
      <w:sz w:val="24"/>
      <w:szCs w:val="24"/>
      <w:lang w:eastAsia="he-IL"/>
    </w:rPr>
  </w:style>
  <w:style w:type="paragraph" w:styleId="a6">
    <w:name w:val="footer"/>
    <w:basedOn w:val="a"/>
    <w:link w:val="a7"/>
    <w:rsid w:val="00F8663A"/>
    <w:pPr>
      <w:tabs>
        <w:tab w:val="center" w:pos="4153"/>
        <w:tab w:val="right" w:pos="8306"/>
      </w:tabs>
    </w:pPr>
  </w:style>
  <w:style w:type="character" w:customStyle="1" w:styleId="a7">
    <w:name w:val="כותרת תחתונה תו"/>
    <w:basedOn w:val="a0"/>
    <w:link w:val="a6"/>
    <w:rsid w:val="00F8663A"/>
    <w:rPr>
      <w:rFonts w:ascii="Times New Roman" w:eastAsia="Times New Roman" w:hAnsi="Times New Roman" w:cs="David"/>
      <w:sz w:val="24"/>
      <w:szCs w:val="24"/>
      <w:lang w:eastAsia="he-IL"/>
    </w:rPr>
  </w:style>
  <w:style w:type="character" w:styleId="Hyperlink">
    <w:name w:val="Hyperlink"/>
    <w:rsid w:val="00F8663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293</Words>
  <Characters>1468</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מאי מואיסי</dc:creator>
  <cp:keywords/>
  <dc:description/>
  <cp:lastModifiedBy>מאי מואיסי</cp:lastModifiedBy>
  <cp:revision>2</cp:revision>
  <dcterms:created xsi:type="dcterms:W3CDTF">2019-02-20T09:33:00Z</dcterms:created>
  <dcterms:modified xsi:type="dcterms:W3CDTF">2019-02-20T09:33:00Z</dcterms:modified>
</cp:coreProperties>
</file>